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A0" w:rsidRDefault="002742A0"/>
    <w:p w:rsidR="002742A0" w:rsidRDefault="002742A0">
      <w:r>
        <w:t>ADV Part II</w:t>
      </w:r>
    </w:p>
    <w:p w:rsidR="002742A0" w:rsidRDefault="002742A0"/>
    <w:p w:rsidR="002742A0" w:rsidRDefault="00CE2E4F">
      <w:hyperlink r:id="rId5" w:history="1">
        <w:r w:rsidR="002742A0" w:rsidRPr="005437BB">
          <w:rPr>
            <w:rStyle w:val="Hyperlink"/>
          </w:rPr>
          <w:t>http://www.iard.com/pdf/ADV_Part_II_Firm_User_90.pdf</w:t>
        </w:r>
      </w:hyperlink>
      <w:r w:rsidR="002742A0">
        <w:t xml:space="preserve"> </w:t>
      </w:r>
    </w:p>
    <w:p w:rsidR="00A27113" w:rsidRDefault="003818E9">
      <w:hyperlink r:id="rId6" w:history="1">
        <w:r w:rsidRPr="005437BB">
          <w:rPr>
            <w:rStyle w:val="Hyperlink"/>
          </w:rPr>
          <w:t>http://www.iard.com/pdf/ADV_Part_II_Firm_User_90.pdf</w:t>
        </w:r>
      </w:hyperlink>
    </w:p>
    <w:p w:rsidR="003818E9" w:rsidRDefault="003818E9"/>
    <w:p w:rsidR="003818E9" w:rsidRDefault="003818E9"/>
    <w:p w:rsidR="003818E9" w:rsidRDefault="003818E9">
      <w:hyperlink r:id="rId7" w:history="1">
        <w:r w:rsidRPr="005437BB">
          <w:rPr>
            <w:rStyle w:val="Hyperlink"/>
          </w:rPr>
          <w:t>http://www.iard.com/pdf/ADV_Part_II_Firm_User_90.pdf</w:t>
        </w:r>
      </w:hyperlink>
      <w:r>
        <w:t xml:space="preserve"> </w:t>
      </w:r>
    </w:p>
    <w:p w:rsidR="003818E9" w:rsidRDefault="003818E9"/>
    <w:p w:rsidR="003818E9" w:rsidRDefault="003818E9" w:rsidP="003818E9">
      <w:pPr>
        <w:pStyle w:val="Default"/>
      </w:pPr>
    </w:p>
    <w:p w:rsidR="003818E9" w:rsidRDefault="003818E9" w:rsidP="003818E9">
      <w:pPr>
        <w:pStyle w:val="Default"/>
      </w:pPr>
      <w:r>
        <w:t xml:space="preserve"> </w:t>
      </w:r>
    </w:p>
    <w:p w:rsidR="003818E9" w:rsidRDefault="003818E9" w:rsidP="003818E9">
      <w:pPr>
        <w:pStyle w:val="Default"/>
        <w:rPr>
          <w:sz w:val="16"/>
          <w:szCs w:val="16"/>
        </w:rPr>
      </w:pPr>
      <w:proofErr w:type="gramStart"/>
      <w:r>
        <w:rPr>
          <w:sz w:val="16"/>
          <w:szCs w:val="16"/>
        </w:rPr>
        <w:t>©2013.</w:t>
      </w:r>
      <w:proofErr w:type="gramEnd"/>
      <w:r>
        <w:rPr>
          <w:sz w:val="16"/>
          <w:szCs w:val="16"/>
        </w:rPr>
        <w:t xml:space="preserve"> </w:t>
      </w:r>
      <w:proofErr w:type="gramStart"/>
      <w:r>
        <w:rPr>
          <w:sz w:val="16"/>
          <w:szCs w:val="16"/>
        </w:rPr>
        <w:t>FINRA.</w:t>
      </w:r>
      <w:proofErr w:type="gramEnd"/>
      <w:r>
        <w:rPr>
          <w:sz w:val="16"/>
          <w:szCs w:val="16"/>
        </w:rPr>
        <w:t xml:space="preserve"> All rights reserved. Materials may not be reprinted or republished without the express permission of FINRA. </w:t>
      </w:r>
    </w:p>
    <w:p w:rsidR="003818E9" w:rsidRDefault="003818E9" w:rsidP="003818E9">
      <w:pPr>
        <w:pStyle w:val="Default"/>
        <w:rPr>
          <w:sz w:val="16"/>
          <w:szCs w:val="16"/>
        </w:rPr>
      </w:pPr>
      <w:r>
        <w:rPr>
          <w:sz w:val="16"/>
          <w:szCs w:val="16"/>
        </w:rPr>
        <w:t xml:space="preserve">Individuals, firms, and data mentioned in these materials are fictitious and are presented exclusively for purposes of illustration or example. </w:t>
      </w:r>
    </w:p>
    <w:p w:rsidR="003818E9" w:rsidRDefault="003818E9" w:rsidP="003818E9">
      <w:pPr>
        <w:pStyle w:val="Default"/>
        <w:rPr>
          <w:color w:val="auto"/>
        </w:rPr>
      </w:pPr>
    </w:p>
    <w:p w:rsidR="003818E9" w:rsidRDefault="003818E9" w:rsidP="003818E9">
      <w:pPr>
        <w:pStyle w:val="Default"/>
        <w:rPr>
          <w:color w:val="auto"/>
        </w:rPr>
      </w:pPr>
      <w:r>
        <w:rPr>
          <w:color w:val="auto"/>
        </w:rPr>
        <w:t xml:space="preserve"> </w:t>
      </w:r>
    </w:p>
    <w:p w:rsidR="003818E9" w:rsidRDefault="003818E9" w:rsidP="003818E9">
      <w:pPr>
        <w:pStyle w:val="Default"/>
        <w:rPr>
          <w:color w:val="739E40"/>
          <w:sz w:val="20"/>
          <w:szCs w:val="20"/>
        </w:rPr>
      </w:pPr>
      <w:proofErr w:type="gramStart"/>
      <w:r>
        <w:rPr>
          <w:b/>
          <w:bCs/>
          <w:color w:val="739E40"/>
          <w:sz w:val="20"/>
          <w:szCs w:val="20"/>
        </w:rPr>
        <w:t>Questions on IARD?</w:t>
      </w:r>
      <w:proofErr w:type="gramEnd"/>
      <w:r>
        <w:rPr>
          <w:b/>
          <w:bCs/>
          <w:color w:val="739E40"/>
          <w:sz w:val="20"/>
          <w:szCs w:val="20"/>
        </w:rPr>
        <w:t xml:space="preserve"> </w:t>
      </w:r>
      <w:r>
        <w:rPr>
          <w:color w:val="739E40"/>
          <w:sz w:val="20"/>
          <w:szCs w:val="20"/>
        </w:rPr>
        <w:t xml:space="preserve">Call the IARD Hotline at </w:t>
      </w:r>
      <w:r>
        <w:rPr>
          <w:b/>
          <w:bCs/>
          <w:color w:val="739E40"/>
          <w:sz w:val="20"/>
          <w:szCs w:val="20"/>
        </w:rPr>
        <w:t xml:space="preserve">240-386-4848 </w:t>
      </w:r>
    </w:p>
    <w:p w:rsidR="003818E9" w:rsidRDefault="003818E9" w:rsidP="003818E9">
      <w:pPr>
        <w:pStyle w:val="Default"/>
        <w:rPr>
          <w:color w:val="739E40"/>
          <w:sz w:val="20"/>
          <w:szCs w:val="20"/>
        </w:rPr>
      </w:pPr>
      <w:r>
        <w:rPr>
          <w:color w:val="739E40"/>
          <w:sz w:val="20"/>
          <w:szCs w:val="20"/>
        </w:rPr>
        <w:t xml:space="preserve">8 A.M. - 8 P.M., ET, Monday through Friday. </w:t>
      </w:r>
    </w:p>
    <w:p w:rsidR="003818E9" w:rsidRDefault="003818E9" w:rsidP="003818E9">
      <w:pPr>
        <w:pStyle w:val="Default"/>
        <w:rPr>
          <w:color w:val="auto"/>
        </w:rPr>
      </w:pPr>
    </w:p>
    <w:p w:rsidR="003818E9" w:rsidRDefault="003818E9" w:rsidP="003818E9">
      <w:pPr>
        <w:pStyle w:val="Default"/>
        <w:rPr>
          <w:color w:val="auto"/>
        </w:rPr>
      </w:pPr>
      <w:r>
        <w:rPr>
          <w:color w:val="auto"/>
        </w:rPr>
        <w:t xml:space="preserve"> </w:t>
      </w:r>
    </w:p>
    <w:p w:rsidR="003818E9" w:rsidRDefault="003818E9" w:rsidP="003818E9">
      <w:pPr>
        <w:pStyle w:val="Default"/>
        <w:rPr>
          <w:color w:val="auto"/>
          <w:sz w:val="32"/>
          <w:szCs w:val="32"/>
        </w:rPr>
      </w:pPr>
      <w:r>
        <w:rPr>
          <w:b/>
          <w:bCs/>
          <w:color w:val="auto"/>
          <w:sz w:val="32"/>
          <w:szCs w:val="32"/>
        </w:rPr>
        <w:t xml:space="preserve">Form ADV Part 2 </w:t>
      </w:r>
    </w:p>
    <w:p w:rsidR="003818E9" w:rsidRDefault="003818E9" w:rsidP="003818E9">
      <w:pPr>
        <w:pStyle w:val="Default"/>
        <w:rPr>
          <w:color w:val="auto"/>
        </w:rPr>
      </w:pPr>
    </w:p>
    <w:p w:rsidR="003818E9" w:rsidRDefault="003818E9" w:rsidP="003818E9">
      <w:pPr>
        <w:pStyle w:val="Default"/>
        <w:rPr>
          <w:color w:val="auto"/>
        </w:rPr>
      </w:pPr>
      <w:r>
        <w:rPr>
          <w:color w:val="auto"/>
        </w:rPr>
        <w:t xml:space="preserve"> </w:t>
      </w:r>
    </w:p>
    <w:p w:rsidR="003818E9" w:rsidRDefault="003818E9" w:rsidP="003818E9">
      <w:pPr>
        <w:pStyle w:val="Default"/>
        <w:rPr>
          <w:rFonts w:ascii="Times New Roman" w:hAnsi="Times New Roman" w:cs="Times New Roman"/>
          <w:color w:val="FFFFFF"/>
          <w:sz w:val="36"/>
          <w:szCs w:val="36"/>
        </w:rPr>
      </w:pPr>
      <w:r>
        <w:rPr>
          <w:rFonts w:ascii="Times New Roman" w:hAnsi="Times New Roman" w:cs="Times New Roman"/>
          <w:color w:val="FFFFFF"/>
          <w:sz w:val="36"/>
          <w:szCs w:val="36"/>
        </w:rPr>
        <w:t xml:space="preserve">IARD </w:t>
      </w:r>
    </w:p>
    <w:p w:rsidR="003818E9" w:rsidRDefault="003818E9" w:rsidP="003818E9">
      <w:pPr>
        <w:pStyle w:val="Default"/>
        <w:rPr>
          <w:color w:val="auto"/>
        </w:rPr>
      </w:pPr>
    </w:p>
    <w:p w:rsidR="003818E9" w:rsidRDefault="003818E9" w:rsidP="003818E9">
      <w:pPr>
        <w:pStyle w:val="Default"/>
        <w:rPr>
          <w:color w:val="auto"/>
        </w:rPr>
      </w:pPr>
      <w:r>
        <w:rPr>
          <w:color w:val="auto"/>
        </w:rPr>
        <w:t xml:space="preserve"> </w:t>
      </w:r>
    </w:p>
    <w:p w:rsidR="003818E9" w:rsidRDefault="003818E9" w:rsidP="003818E9">
      <w:pPr>
        <w:pStyle w:val="Default"/>
        <w:rPr>
          <w:color w:val="auto"/>
          <w:sz w:val="23"/>
          <w:szCs w:val="23"/>
        </w:rPr>
      </w:pPr>
      <w:r>
        <w:rPr>
          <w:b/>
          <w:bCs/>
          <w:color w:val="auto"/>
          <w:sz w:val="23"/>
          <w:szCs w:val="23"/>
        </w:rPr>
        <w:t xml:space="preserve">About Form ADV Part 2 </w:t>
      </w:r>
    </w:p>
    <w:p w:rsidR="003818E9" w:rsidRDefault="003818E9" w:rsidP="003818E9">
      <w:pPr>
        <w:pStyle w:val="Default"/>
        <w:rPr>
          <w:color w:val="auto"/>
          <w:sz w:val="20"/>
          <w:szCs w:val="20"/>
        </w:rPr>
      </w:pPr>
      <w:r>
        <w:rPr>
          <w:color w:val="auto"/>
          <w:sz w:val="20"/>
          <w:szCs w:val="20"/>
        </w:rPr>
        <w:t>Part 2 is the section of Form ADV that contains information about Investment Adviser firms and the type of business they conduct. Firms are required to provide Part 2 of Form ADV to existing and prospective clients. All SEC-registered and some state-registered Investment Adviser firms are required to submit Part 2 of Form ADV online through the IARD</w:t>
      </w:r>
      <w:r>
        <w:rPr>
          <w:color w:val="auto"/>
          <w:sz w:val="13"/>
          <w:szCs w:val="13"/>
        </w:rPr>
        <w:t xml:space="preserve">TM </w:t>
      </w:r>
      <w:r>
        <w:rPr>
          <w:color w:val="auto"/>
          <w:sz w:val="20"/>
          <w:szCs w:val="20"/>
        </w:rPr>
        <w:t xml:space="preserve">system. </w:t>
      </w:r>
    </w:p>
    <w:p w:rsidR="003818E9" w:rsidRDefault="003818E9" w:rsidP="003818E9">
      <w:pPr>
        <w:pStyle w:val="Default"/>
        <w:rPr>
          <w:color w:val="auto"/>
          <w:sz w:val="20"/>
          <w:szCs w:val="20"/>
        </w:rPr>
      </w:pPr>
      <w:r>
        <w:rPr>
          <w:color w:val="auto"/>
          <w:sz w:val="20"/>
          <w:szCs w:val="20"/>
        </w:rPr>
        <w:t xml:space="preserve">A firm that offers substantially different types of advisory services has the option to prepare separate brochures for each service, as long as, each client receives all information about the services and fees that are applicable to that client. </w:t>
      </w:r>
    </w:p>
    <w:p w:rsidR="003818E9" w:rsidRDefault="003818E9" w:rsidP="003818E9">
      <w:pPr>
        <w:pStyle w:val="Default"/>
        <w:rPr>
          <w:color w:val="auto"/>
          <w:sz w:val="20"/>
          <w:szCs w:val="20"/>
        </w:rPr>
      </w:pPr>
      <w:r>
        <w:rPr>
          <w:color w:val="auto"/>
          <w:sz w:val="20"/>
          <w:szCs w:val="20"/>
        </w:rPr>
        <w:t xml:space="preserve">Brochures submitted by the firm will display in IAPD the following day. IAPD will only display brochures with a Brochure Jurisdiction Status of Delivered or Accepted. </w:t>
      </w:r>
    </w:p>
    <w:p w:rsidR="003818E9" w:rsidRDefault="003818E9" w:rsidP="003818E9">
      <w:pPr>
        <w:pStyle w:val="Default"/>
        <w:rPr>
          <w:color w:val="auto"/>
          <w:sz w:val="20"/>
          <w:szCs w:val="20"/>
        </w:rPr>
      </w:pPr>
      <w:r>
        <w:rPr>
          <w:color w:val="auto"/>
          <w:sz w:val="20"/>
          <w:szCs w:val="20"/>
        </w:rPr>
        <w:t xml:space="preserve">For purposes of the IARD system, Part 2 of the Form ADV is referred to as the "Brochure." The brochure is uploaded as an attachment to Form ADV during the form filing submission process. The brochure must be converted to a text-searchable, PDF file before submission to the IARD system. </w:t>
      </w:r>
    </w:p>
    <w:p w:rsidR="003818E9" w:rsidRDefault="003818E9" w:rsidP="003818E9">
      <w:pPr>
        <w:pStyle w:val="Default"/>
        <w:rPr>
          <w:color w:val="auto"/>
          <w:sz w:val="20"/>
          <w:szCs w:val="20"/>
        </w:rPr>
      </w:pPr>
      <w:proofErr w:type="gramStart"/>
      <w:r>
        <w:rPr>
          <w:color w:val="auto"/>
          <w:sz w:val="20"/>
          <w:szCs w:val="20"/>
        </w:rPr>
        <w:t xml:space="preserve">Access IARD at </w:t>
      </w:r>
      <w:r>
        <w:rPr>
          <w:b/>
          <w:bCs/>
          <w:color w:val="auto"/>
          <w:sz w:val="20"/>
          <w:szCs w:val="20"/>
        </w:rPr>
        <w:t>https://crd.finra.org/iad</w:t>
      </w:r>
      <w:r>
        <w:rPr>
          <w:color w:val="auto"/>
          <w:sz w:val="20"/>
          <w:szCs w:val="20"/>
        </w:rPr>
        <w:t>.</w:t>
      </w:r>
      <w:proofErr w:type="gramEnd"/>
      <w:r>
        <w:rPr>
          <w:color w:val="auto"/>
          <w:sz w:val="20"/>
          <w:szCs w:val="20"/>
        </w:rPr>
        <w:t xml:space="preserve"> </w:t>
      </w:r>
    </w:p>
    <w:p w:rsidR="003818E9" w:rsidRDefault="003818E9" w:rsidP="003818E9">
      <w:pPr>
        <w:pStyle w:val="Default"/>
        <w:rPr>
          <w:color w:val="auto"/>
        </w:rPr>
      </w:pPr>
    </w:p>
    <w:p w:rsidR="003818E9" w:rsidRDefault="003818E9" w:rsidP="003818E9">
      <w:pPr>
        <w:pStyle w:val="Default"/>
        <w:rPr>
          <w:color w:val="auto"/>
        </w:rPr>
      </w:pPr>
      <w:r>
        <w:rPr>
          <w:color w:val="auto"/>
        </w:rPr>
        <w:t xml:space="preserve"> </w:t>
      </w:r>
    </w:p>
    <w:p w:rsidR="003818E9" w:rsidRDefault="003818E9" w:rsidP="003818E9">
      <w:pPr>
        <w:pStyle w:val="Default"/>
        <w:rPr>
          <w:color w:val="auto"/>
          <w:sz w:val="23"/>
          <w:szCs w:val="23"/>
        </w:rPr>
      </w:pPr>
      <w:r>
        <w:rPr>
          <w:b/>
          <w:bCs/>
          <w:color w:val="auto"/>
          <w:sz w:val="23"/>
          <w:szCs w:val="23"/>
        </w:rPr>
        <w:t xml:space="preserve">Content: </w:t>
      </w:r>
    </w:p>
    <w:p w:rsidR="003818E9" w:rsidRDefault="003818E9" w:rsidP="003818E9">
      <w:pPr>
        <w:pStyle w:val="Default"/>
        <w:spacing w:after="267"/>
        <w:rPr>
          <w:sz w:val="20"/>
          <w:szCs w:val="20"/>
        </w:rPr>
      </w:pPr>
      <w:r>
        <w:rPr>
          <w:color w:val="auto"/>
          <w:sz w:val="20"/>
          <w:szCs w:val="20"/>
        </w:rPr>
        <w:t xml:space="preserve"> </w:t>
      </w:r>
      <w:r>
        <w:rPr>
          <w:color w:val="326599"/>
          <w:sz w:val="20"/>
          <w:szCs w:val="20"/>
        </w:rPr>
        <w:t xml:space="preserve">Access Form ADV </w:t>
      </w:r>
      <w:r>
        <w:rPr>
          <w:sz w:val="20"/>
          <w:szCs w:val="20"/>
        </w:rPr>
        <w:t xml:space="preserve">(pg. 2) </w:t>
      </w:r>
    </w:p>
    <w:p w:rsidR="003818E9" w:rsidRDefault="003818E9" w:rsidP="003818E9">
      <w:pPr>
        <w:pStyle w:val="Default"/>
        <w:spacing w:after="267"/>
        <w:rPr>
          <w:sz w:val="20"/>
          <w:szCs w:val="20"/>
        </w:rPr>
      </w:pPr>
      <w:r>
        <w:rPr>
          <w:sz w:val="20"/>
          <w:szCs w:val="20"/>
        </w:rPr>
        <w:t xml:space="preserve"> </w:t>
      </w:r>
      <w:r>
        <w:rPr>
          <w:color w:val="326599"/>
          <w:sz w:val="20"/>
          <w:szCs w:val="20"/>
        </w:rPr>
        <w:t xml:space="preserve">Part 2 Brochure Filing Page </w:t>
      </w:r>
      <w:r>
        <w:rPr>
          <w:sz w:val="20"/>
          <w:szCs w:val="20"/>
        </w:rPr>
        <w:t xml:space="preserve">(pg. 3) </w:t>
      </w:r>
    </w:p>
    <w:p w:rsidR="003818E9" w:rsidRDefault="003818E9" w:rsidP="003818E9">
      <w:pPr>
        <w:pStyle w:val="Default"/>
        <w:spacing w:after="267"/>
        <w:rPr>
          <w:sz w:val="20"/>
          <w:szCs w:val="20"/>
        </w:rPr>
      </w:pPr>
      <w:r>
        <w:rPr>
          <w:sz w:val="20"/>
          <w:szCs w:val="20"/>
        </w:rPr>
        <w:t xml:space="preserve"> </w:t>
      </w:r>
      <w:r>
        <w:rPr>
          <w:color w:val="326599"/>
          <w:sz w:val="20"/>
          <w:szCs w:val="20"/>
        </w:rPr>
        <w:t xml:space="preserve">Upload a New Brochure </w:t>
      </w:r>
      <w:r>
        <w:rPr>
          <w:sz w:val="20"/>
          <w:szCs w:val="20"/>
        </w:rPr>
        <w:t xml:space="preserve">(pg. 3) </w:t>
      </w:r>
    </w:p>
    <w:p w:rsidR="003818E9" w:rsidRDefault="003818E9" w:rsidP="003818E9">
      <w:pPr>
        <w:pStyle w:val="Default"/>
        <w:spacing w:after="267"/>
        <w:rPr>
          <w:sz w:val="20"/>
          <w:szCs w:val="20"/>
        </w:rPr>
      </w:pPr>
      <w:r>
        <w:rPr>
          <w:sz w:val="20"/>
          <w:szCs w:val="20"/>
        </w:rPr>
        <w:t xml:space="preserve"> </w:t>
      </w:r>
      <w:r>
        <w:rPr>
          <w:color w:val="326599"/>
          <w:sz w:val="20"/>
          <w:szCs w:val="20"/>
        </w:rPr>
        <w:t xml:space="preserve">Upload Error Message </w:t>
      </w:r>
      <w:r>
        <w:rPr>
          <w:sz w:val="20"/>
          <w:szCs w:val="20"/>
        </w:rPr>
        <w:t xml:space="preserve">(pg. 8) </w:t>
      </w:r>
    </w:p>
    <w:p w:rsidR="003818E9" w:rsidRDefault="003818E9" w:rsidP="003818E9">
      <w:pPr>
        <w:pStyle w:val="Default"/>
        <w:spacing w:after="267"/>
        <w:rPr>
          <w:sz w:val="20"/>
          <w:szCs w:val="20"/>
        </w:rPr>
      </w:pPr>
      <w:r>
        <w:rPr>
          <w:sz w:val="20"/>
          <w:szCs w:val="20"/>
        </w:rPr>
        <w:t xml:space="preserve"> </w:t>
      </w:r>
      <w:r>
        <w:rPr>
          <w:color w:val="326599"/>
          <w:sz w:val="20"/>
          <w:szCs w:val="20"/>
        </w:rPr>
        <w:t xml:space="preserve">Amend a Brochure </w:t>
      </w:r>
      <w:r>
        <w:rPr>
          <w:sz w:val="20"/>
          <w:szCs w:val="20"/>
        </w:rPr>
        <w:t xml:space="preserve">(pg. 9) </w:t>
      </w:r>
    </w:p>
    <w:p w:rsidR="003818E9" w:rsidRDefault="003818E9" w:rsidP="003818E9">
      <w:pPr>
        <w:pStyle w:val="Default"/>
        <w:spacing w:after="267"/>
        <w:rPr>
          <w:sz w:val="20"/>
          <w:szCs w:val="20"/>
        </w:rPr>
      </w:pPr>
      <w:r>
        <w:rPr>
          <w:sz w:val="20"/>
          <w:szCs w:val="20"/>
        </w:rPr>
        <w:t xml:space="preserve"> </w:t>
      </w:r>
      <w:r>
        <w:rPr>
          <w:color w:val="326599"/>
          <w:sz w:val="20"/>
          <w:szCs w:val="20"/>
        </w:rPr>
        <w:t xml:space="preserve">Retire a Brochure </w:t>
      </w:r>
      <w:r>
        <w:rPr>
          <w:sz w:val="20"/>
          <w:szCs w:val="20"/>
        </w:rPr>
        <w:t xml:space="preserve">(pg. 10) </w:t>
      </w:r>
    </w:p>
    <w:p w:rsidR="003818E9" w:rsidRDefault="003818E9" w:rsidP="003818E9">
      <w:pPr>
        <w:pStyle w:val="Default"/>
        <w:spacing w:after="267"/>
        <w:rPr>
          <w:sz w:val="20"/>
          <w:szCs w:val="20"/>
        </w:rPr>
      </w:pPr>
      <w:r>
        <w:rPr>
          <w:sz w:val="20"/>
          <w:szCs w:val="20"/>
        </w:rPr>
        <w:t xml:space="preserve"> </w:t>
      </w:r>
      <w:r>
        <w:rPr>
          <w:color w:val="326599"/>
          <w:sz w:val="20"/>
          <w:szCs w:val="20"/>
        </w:rPr>
        <w:t xml:space="preserve">Confirm a Brochure </w:t>
      </w:r>
      <w:r>
        <w:rPr>
          <w:sz w:val="20"/>
          <w:szCs w:val="20"/>
        </w:rPr>
        <w:t xml:space="preserve">(pg. 11) </w:t>
      </w:r>
    </w:p>
    <w:p w:rsidR="003818E9" w:rsidRDefault="003818E9" w:rsidP="003818E9">
      <w:pPr>
        <w:pStyle w:val="Default"/>
        <w:rPr>
          <w:sz w:val="20"/>
          <w:szCs w:val="20"/>
        </w:rPr>
      </w:pPr>
      <w:r>
        <w:rPr>
          <w:sz w:val="20"/>
          <w:szCs w:val="20"/>
        </w:rPr>
        <w:t xml:space="preserve"> </w:t>
      </w:r>
      <w:r>
        <w:rPr>
          <w:color w:val="326599"/>
          <w:sz w:val="20"/>
          <w:szCs w:val="20"/>
        </w:rPr>
        <w:t xml:space="preserve">Brochure Information in View Organization </w:t>
      </w:r>
      <w:r>
        <w:rPr>
          <w:sz w:val="20"/>
          <w:szCs w:val="20"/>
        </w:rPr>
        <w:t xml:space="preserve">(pg. 12) </w:t>
      </w:r>
    </w:p>
    <w:p w:rsidR="003818E9" w:rsidRDefault="003818E9" w:rsidP="003818E9">
      <w:pPr>
        <w:pStyle w:val="Default"/>
        <w:rPr>
          <w:sz w:val="20"/>
          <w:szCs w:val="20"/>
        </w:rPr>
      </w:pPr>
    </w:p>
    <w:p w:rsidR="003818E9" w:rsidRDefault="003818E9" w:rsidP="003818E9">
      <w:pPr>
        <w:pStyle w:val="Default"/>
        <w:pageBreakBefore/>
        <w:rPr>
          <w:sz w:val="20"/>
          <w:szCs w:val="20"/>
        </w:rPr>
      </w:pPr>
    </w:p>
    <w:p w:rsidR="003818E9" w:rsidRDefault="003818E9" w:rsidP="003818E9">
      <w:pPr>
        <w:pStyle w:val="Default"/>
        <w:rPr>
          <w:sz w:val="16"/>
          <w:szCs w:val="16"/>
        </w:rPr>
      </w:pPr>
      <w:r>
        <w:rPr>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2 </w:t>
      </w:r>
    </w:p>
    <w:p w:rsidR="003818E9" w:rsidRDefault="003818E9" w:rsidP="003818E9">
      <w:pPr>
        <w:pStyle w:val="Default"/>
        <w:rPr>
          <w:color w:val="auto"/>
        </w:rPr>
      </w:pPr>
    </w:p>
    <w:p w:rsidR="003818E9" w:rsidRDefault="003818E9" w:rsidP="003818E9">
      <w:pPr>
        <w:pStyle w:val="Default"/>
        <w:rPr>
          <w:color w:val="auto"/>
          <w:sz w:val="23"/>
          <w:szCs w:val="23"/>
        </w:rPr>
      </w:pPr>
      <w:r>
        <w:rPr>
          <w:b/>
          <w:bCs/>
          <w:color w:val="auto"/>
          <w:sz w:val="23"/>
          <w:szCs w:val="23"/>
        </w:rPr>
        <w:t xml:space="preserve">Access Form ADV </w:t>
      </w:r>
    </w:p>
    <w:p w:rsidR="003818E9" w:rsidRDefault="003818E9" w:rsidP="003818E9">
      <w:pPr>
        <w:pStyle w:val="Default"/>
        <w:rPr>
          <w:color w:val="auto"/>
          <w:sz w:val="20"/>
          <w:szCs w:val="20"/>
        </w:rPr>
      </w:pPr>
      <w:r>
        <w:rPr>
          <w:color w:val="auto"/>
          <w:sz w:val="20"/>
          <w:szCs w:val="20"/>
        </w:rPr>
        <w:t xml:space="preserve">Access the appropriate Form ADV filing type. </w:t>
      </w:r>
    </w:p>
    <w:p w:rsidR="003818E9" w:rsidRDefault="003818E9" w:rsidP="003818E9">
      <w:pPr>
        <w:pStyle w:val="Default"/>
        <w:rPr>
          <w:color w:val="auto"/>
        </w:rPr>
      </w:pPr>
    </w:p>
    <w:p w:rsidR="003818E9" w:rsidRDefault="003818E9" w:rsidP="003818E9">
      <w:pPr>
        <w:pStyle w:val="Default"/>
        <w:rPr>
          <w:color w:val="auto"/>
          <w:sz w:val="20"/>
          <w:szCs w:val="20"/>
        </w:rPr>
      </w:pPr>
      <w:r>
        <w:rPr>
          <w:color w:val="auto"/>
          <w:sz w:val="20"/>
          <w:szCs w:val="20"/>
        </w:rPr>
        <w:t xml:space="preserve">Select the </w:t>
      </w:r>
      <w:r>
        <w:rPr>
          <w:b/>
          <w:bCs/>
          <w:color w:val="auto"/>
          <w:sz w:val="20"/>
          <w:szCs w:val="20"/>
        </w:rPr>
        <w:t xml:space="preserve">Part 2 </w:t>
      </w:r>
      <w:r>
        <w:rPr>
          <w:color w:val="auto"/>
          <w:sz w:val="20"/>
          <w:szCs w:val="20"/>
        </w:rPr>
        <w:t xml:space="preserve">hyperlink located in the navigation panel on the left.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3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Part 2 Brochure Filing Page </w:t>
      </w:r>
    </w:p>
    <w:p w:rsidR="003818E9" w:rsidRDefault="003818E9" w:rsidP="003818E9">
      <w:pPr>
        <w:pStyle w:val="Default"/>
        <w:rPr>
          <w:color w:val="auto"/>
          <w:sz w:val="20"/>
          <w:szCs w:val="20"/>
        </w:rPr>
      </w:pPr>
      <w:r>
        <w:rPr>
          <w:color w:val="auto"/>
          <w:sz w:val="20"/>
          <w:szCs w:val="20"/>
        </w:rPr>
        <w:t xml:space="preserve">The Exemption from Brochure Delivery Requirements for SEC Registered Advisers section will only display for firms registered with or applying for registration with the SEC. This question must be answered Yes or No. </w:t>
      </w:r>
    </w:p>
    <w:p w:rsidR="003818E9" w:rsidRDefault="003818E9" w:rsidP="003818E9">
      <w:pPr>
        <w:pStyle w:val="Default"/>
        <w:rPr>
          <w:color w:val="auto"/>
          <w:sz w:val="20"/>
          <w:szCs w:val="20"/>
        </w:rPr>
      </w:pPr>
      <w:r>
        <w:rPr>
          <w:color w:val="auto"/>
          <w:sz w:val="20"/>
          <w:szCs w:val="20"/>
        </w:rPr>
        <w:t xml:space="preserve">If applicable, a list of previously submitted brochures will display, with the option to amend, retire, or confirm the existing brochure. The Confirm radio button is only available on an Annual Amendment filing. </w:t>
      </w:r>
    </w:p>
    <w:p w:rsidR="003818E9" w:rsidRDefault="003818E9" w:rsidP="003818E9">
      <w:pPr>
        <w:pStyle w:val="Default"/>
        <w:rPr>
          <w:color w:val="auto"/>
        </w:rPr>
      </w:pPr>
    </w:p>
    <w:p w:rsidR="003818E9" w:rsidRDefault="003818E9" w:rsidP="003818E9">
      <w:pPr>
        <w:pStyle w:val="Default"/>
        <w:rPr>
          <w:color w:val="auto"/>
          <w:sz w:val="23"/>
          <w:szCs w:val="23"/>
        </w:rPr>
      </w:pPr>
      <w:r>
        <w:rPr>
          <w:b/>
          <w:bCs/>
          <w:color w:val="auto"/>
          <w:sz w:val="23"/>
          <w:szCs w:val="23"/>
        </w:rPr>
        <w:t xml:space="preserve">Upload a New Brochure </w:t>
      </w:r>
    </w:p>
    <w:p w:rsidR="003818E9" w:rsidRDefault="003818E9" w:rsidP="003818E9">
      <w:pPr>
        <w:pStyle w:val="Default"/>
        <w:rPr>
          <w:color w:val="auto"/>
          <w:sz w:val="20"/>
          <w:szCs w:val="20"/>
        </w:rPr>
      </w:pPr>
      <w:r>
        <w:rPr>
          <w:color w:val="auto"/>
          <w:sz w:val="20"/>
          <w:szCs w:val="20"/>
        </w:rPr>
        <w:t xml:space="preserve">Click the </w:t>
      </w:r>
      <w:r>
        <w:rPr>
          <w:b/>
          <w:bCs/>
          <w:color w:val="auto"/>
          <w:sz w:val="20"/>
          <w:szCs w:val="20"/>
        </w:rPr>
        <w:t xml:space="preserve">Create New Brochure </w:t>
      </w:r>
      <w:r>
        <w:rPr>
          <w:color w:val="auto"/>
          <w:sz w:val="20"/>
          <w:szCs w:val="20"/>
        </w:rPr>
        <w:t xml:space="preserve">button to begin entering information about your firm’s brochure.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4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Upload a New Brochure (Continued) </w:t>
      </w:r>
    </w:p>
    <w:p w:rsidR="003818E9" w:rsidRDefault="003818E9" w:rsidP="003818E9">
      <w:pPr>
        <w:pStyle w:val="Default"/>
        <w:rPr>
          <w:color w:val="auto"/>
          <w:sz w:val="20"/>
          <w:szCs w:val="20"/>
        </w:rPr>
      </w:pPr>
      <w:r>
        <w:rPr>
          <w:color w:val="auto"/>
          <w:sz w:val="20"/>
          <w:szCs w:val="20"/>
        </w:rPr>
        <w:t xml:space="preserve">Complete the </w:t>
      </w:r>
      <w:r>
        <w:rPr>
          <w:b/>
          <w:bCs/>
          <w:color w:val="auto"/>
          <w:sz w:val="20"/>
          <w:szCs w:val="20"/>
        </w:rPr>
        <w:t xml:space="preserve">Brochure Name </w:t>
      </w:r>
      <w:r>
        <w:rPr>
          <w:color w:val="auto"/>
          <w:sz w:val="20"/>
          <w:szCs w:val="20"/>
        </w:rPr>
        <w:t xml:space="preserve">and </w:t>
      </w:r>
      <w:r>
        <w:rPr>
          <w:b/>
          <w:bCs/>
          <w:color w:val="auto"/>
          <w:sz w:val="20"/>
          <w:szCs w:val="20"/>
        </w:rPr>
        <w:t xml:space="preserve">Brochure Type </w:t>
      </w:r>
      <w:r>
        <w:rPr>
          <w:color w:val="auto"/>
          <w:sz w:val="20"/>
          <w:szCs w:val="20"/>
        </w:rPr>
        <w:t xml:space="preserve">fields. Brochure Description is an optional field where you may enter a brief description regarding the content of your brochure. </w:t>
      </w:r>
    </w:p>
    <w:p w:rsidR="003818E9" w:rsidRDefault="003818E9" w:rsidP="003818E9">
      <w:pPr>
        <w:pStyle w:val="Default"/>
        <w:rPr>
          <w:color w:val="auto"/>
          <w:sz w:val="20"/>
          <w:szCs w:val="20"/>
        </w:rPr>
      </w:pPr>
      <w:r>
        <w:rPr>
          <w:color w:val="auto"/>
          <w:sz w:val="20"/>
          <w:szCs w:val="20"/>
        </w:rPr>
        <w:t xml:space="preserve">After clicking the </w:t>
      </w:r>
      <w:r>
        <w:rPr>
          <w:b/>
          <w:bCs/>
          <w:color w:val="auto"/>
          <w:sz w:val="20"/>
          <w:szCs w:val="20"/>
        </w:rPr>
        <w:t xml:space="preserve">Save </w:t>
      </w:r>
      <w:r>
        <w:rPr>
          <w:color w:val="auto"/>
          <w:sz w:val="20"/>
          <w:szCs w:val="20"/>
        </w:rPr>
        <w:t xml:space="preserve">button an additional pop-up message will display if the firm does not already have a brochure in the IARD system to clarify when brochures are attached and processed as part of the filing. </w:t>
      </w:r>
    </w:p>
    <w:p w:rsidR="003818E9" w:rsidRDefault="003818E9" w:rsidP="003818E9">
      <w:pPr>
        <w:pStyle w:val="Default"/>
        <w:rPr>
          <w:color w:val="auto"/>
          <w:sz w:val="20"/>
          <w:szCs w:val="20"/>
        </w:rPr>
      </w:pPr>
      <w:r>
        <w:rPr>
          <w:color w:val="auto"/>
          <w:sz w:val="20"/>
          <w:szCs w:val="20"/>
        </w:rPr>
        <w:t xml:space="preserve">Return to the Part 2 Brochure Filing page by selecting </w:t>
      </w:r>
      <w:r>
        <w:rPr>
          <w:b/>
          <w:bCs/>
          <w:color w:val="auto"/>
          <w:sz w:val="20"/>
          <w:szCs w:val="20"/>
        </w:rPr>
        <w:t xml:space="preserve">Part 2 </w:t>
      </w:r>
      <w:r>
        <w:rPr>
          <w:color w:val="auto"/>
          <w:sz w:val="20"/>
          <w:szCs w:val="20"/>
        </w:rPr>
        <w:t xml:space="preserve">from the navigation panel.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5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Upload a New Brochure (Continued) </w:t>
      </w:r>
    </w:p>
    <w:p w:rsidR="003818E9" w:rsidRDefault="003818E9" w:rsidP="003818E9">
      <w:pPr>
        <w:pStyle w:val="Default"/>
        <w:rPr>
          <w:color w:val="auto"/>
          <w:sz w:val="20"/>
          <w:szCs w:val="20"/>
        </w:rPr>
      </w:pPr>
      <w:r>
        <w:rPr>
          <w:color w:val="auto"/>
          <w:sz w:val="20"/>
          <w:szCs w:val="20"/>
        </w:rPr>
        <w:t xml:space="preserve">Prior to submission, firm users have the option to delete a new brochure by selecting the </w:t>
      </w:r>
    </w:p>
    <w:p w:rsidR="003818E9" w:rsidRDefault="003818E9" w:rsidP="003818E9">
      <w:pPr>
        <w:pStyle w:val="Default"/>
        <w:rPr>
          <w:color w:val="auto"/>
          <w:sz w:val="20"/>
          <w:szCs w:val="20"/>
        </w:rPr>
      </w:pPr>
      <w:r>
        <w:rPr>
          <w:b/>
          <w:bCs/>
          <w:color w:val="auto"/>
          <w:sz w:val="20"/>
          <w:szCs w:val="20"/>
        </w:rPr>
        <w:t xml:space="preserve">Delete </w:t>
      </w:r>
      <w:r>
        <w:rPr>
          <w:color w:val="auto"/>
          <w:sz w:val="20"/>
          <w:szCs w:val="20"/>
        </w:rPr>
        <w:t xml:space="preserve">hyperlink and then clicking </w:t>
      </w:r>
      <w:r>
        <w:rPr>
          <w:b/>
          <w:bCs/>
          <w:color w:val="auto"/>
          <w:sz w:val="20"/>
          <w:szCs w:val="20"/>
        </w:rPr>
        <w:t xml:space="preserve">OK </w:t>
      </w:r>
      <w:r>
        <w:rPr>
          <w:color w:val="auto"/>
          <w:sz w:val="20"/>
          <w:szCs w:val="20"/>
        </w:rPr>
        <w:t>when the following message displays: “Are you sure you want to de-</w:t>
      </w:r>
      <w:proofErr w:type="spellStart"/>
      <w:r>
        <w:rPr>
          <w:color w:val="auto"/>
          <w:sz w:val="20"/>
          <w:szCs w:val="20"/>
        </w:rPr>
        <w:t>lete</w:t>
      </w:r>
      <w:proofErr w:type="spellEnd"/>
      <w:r>
        <w:rPr>
          <w:color w:val="auto"/>
          <w:sz w:val="20"/>
          <w:szCs w:val="20"/>
        </w:rPr>
        <w:t xml:space="preserve"> this brochure?” </w:t>
      </w:r>
    </w:p>
    <w:p w:rsidR="003818E9" w:rsidRDefault="003818E9" w:rsidP="003818E9">
      <w:pPr>
        <w:pStyle w:val="Default"/>
        <w:rPr>
          <w:color w:val="auto"/>
        </w:rPr>
      </w:pPr>
    </w:p>
    <w:p w:rsidR="003818E9" w:rsidRDefault="003818E9" w:rsidP="003818E9">
      <w:pPr>
        <w:pStyle w:val="Default"/>
        <w:rPr>
          <w:color w:val="auto"/>
          <w:sz w:val="20"/>
          <w:szCs w:val="20"/>
        </w:rPr>
      </w:pPr>
      <w:r>
        <w:rPr>
          <w:color w:val="auto"/>
          <w:sz w:val="20"/>
          <w:szCs w:val="20"/>
        </w:rPr>
        <w:t xml:space="preserve">Brochures are uploaded as part of the submission process. All Completeness Checks must be passed before the system will allow you to upload a file. </w:t>
      </w:r>
    </w:p>
    <w:p w:rsidR="003818E9" w:rsidRDefault="003818E9" w:rsidP="003818E9">
      <w:pPr>
        <w:pStyle w:val="Default"/>
        <w:rPr>
          <w:color w:val="auto"/>
          <w:sz w:val="20"/>
          <w:szCs w:val="20"/>
        </w:rPr>
      </w:pPr>
      <w:r>
        <w:rPr>
          <w:color w:val="auto"/>
          <w:sz w:val="20"/>
          <w:szCs w:val="20"/>
        </w:rPr>
        <w:t xml:space="preserve">Once you are ready to submit the Form ADV filing, click </w:t>
      </w:r>
      <w:r>
        <w:rPr>
          <w:b/>
          <w:bCs/>
          <w:color w:val="auto"/>
          <w:sz w:val="20"/>
          <w:szCs w:val="20"/>
        </w:rPr>
        <w:t xml:space="preserve">Submit Filing </w:t>
      </w:r>
      <w:r>
        <w:rPr>
          <w:color w:val="auto"/>
          <w:sz w:val="20"/>
          <w:szCs w:val="20"/>
        </w:rPr>
        <w:t xml:space="preserve">from the navigation panel. </w:t>
      </w:r>
    </w:p>
    <w:p w:rsidR="003818E9" w:rsidRDefault="003818E9" w:rsidP="003818E9">
      <w:pPr>
        <w:pStyle w:val="Default"/>
        <w:rPr>
          <w:color w:val="auto"/>
          <w:sz w:val="20"/>
          <w:szCs w:val="20"/>
        </w:rPr>
      </w:pPr>
      <w:r>
        <w:rPr>
          <w:color w:val="auto"/>
          <w:sz w:val="20"/>
          <w:szCs w:val="20"/>
        </w:rPr>
        <w:t xml:space="preserve">If applicable, clear all errors on the filing and click </w:t>
      </w:r>
      <w:r>
        <w:rPr>
          <w:b/>
          <w:bCs/>
          <w:color w:val="auto"/>
          <w:sz w:val="20"/>
          <w:szCs w:val="20"/>
        </w:rPr>
        <w:t xml:space="preserve">Submit Filing </w:t>
      </w:r>
      <w:r>
        <w:rPr>
          <w:color w:val="auto"/>
          <w:sz w:val="20"/>
          <w:szCs w:val="20"/>
        </w:rPr>
        <w:t xml:space="preserve">again.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6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Upload a New Brochure (Continued) </w:t>
      </w:r>
    </w:p>
    <w:p w:rsidR="003818E9" w:rsidRDefault="003818E9" w:rsidP="003818E9">
      <w:pPr>
        <w:pStyle w:val="Default"/>
        <w:rPr>
          <w:color w:val="auto"/>
          <w:sz w:val="20"/>
          <w:szCs w:val="20"/>
        </w:rPr>
      </w:pPr>
      <w:r>
        <w:rPr>
          <w:color w:val="auto"/>
          <w:sz w:val="20"/>
          <w:szCs w:val="20"/>
        </w:rPr>
        <w:t xml:space="preserve">Click the </w:t>
      </w:r>
      <w:r>
        <w:rPr>
          <w:b/>
          <w:bCs/>
          <w:color w:val="auto"/>
          <w:sz w:val="20"/>
          <w:szCs w:val="20"/>
        </w:rPr>
        <w:t xml:space="preserve">Browse </w:t>
      </w:r>
      <w:r>
        <w:rPr>
          <w:color w:val="auto"/>
          <w:sz w:val="20"/>
          <w:szCs w:val="20"/>
        </w:rPr>
        <w:t xml:space="preserve">button on the submission screen and locate the brochure file on your computer. </w:t>
      </w:r>
    </w:p>
    <w:p w:rsidR="003818E9" w:rsidRDefault="003818E9" w:rsidP="003818E9">
      <w:pPr>
        <w:pStyle w:val="Default"/>
        <w:rPr>
          <w:color w:val="auto"/>
          <w:sz w:val="20"/>
          <w:szCs w:val="20"/>
        </w:rPr>
      </w:pPr>
      <w:r>
        <w:rPr>
          <w:color w:val="auto"/>
          <w:sz w:val="20"/>
          <w:szCs w:val="20"/>
        </w:rPr>
        <w:t xml:space="preserve">Brochures must be in PDF format and must be text-searchable.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7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Upload a New Brochure (Continued) </w:t>
      </w:r>
    </w:p>
    <w:p w:rsidR="003818E9" w:rsidRDefault="003818E9" w:rsidP="003818E9">
      <w:pPr>
        <w:pStyle w:val="Default"/>
        <w:rPr>
          <w:color w:val="auto"/>
          <w:sz w:val="20"/>
          <w:szCs w:val="20"/>
        </w:rPr>
      </w:pPr>
      <w:r>
        <w:rPr>
          <w:color w:val="auto"/>
          <w:sz w:val="20"/>
          <w:szCs w:val="20"/>
        </w:rPr>
        <w:t xml:space="preserve">Click the </w:t>
      </w:r>
      <w:r>
        <w:rPr>
          <w:b/>
          <w:bCs/>
          <w:color w:val="auto"/>
          <w:sz w:val="20"/>
          <w:szCs w:val="20"/>
        </w:rPr>
        <w:t xml:space="preserve">Submit Filing </w:t>
      </w:r>
      <w:r>
        <w:rPr>
          <w:color w:val="auto"/>
          <w:sz w:val="20"/>
          <w:szCs w:val="20"/>
        </w:rPr>
        <w:t xml:space="preserve">button to submit your Form ADV filing and upload the attached brochure. </w:t>
      </w:r>
    </w:p>
    <w:p w:rsidR="003818E9" w:rsidRDefault="003818E9" w:rsidP="003818E9">
      <w:pPr>
        <w:pStyle w:val="Default"/>
        <w:rPr>
          <w:color w:val="auto"/>
        </w:rPr>
      </w:pPr>
    </w:p>
    <w:p w:rsidR="003818E9" w:rsidRDefault="003818E9" w:rsidP="003818E9">
      <w:pPr>
        <w:pStyle w:val="Default"/>
        <w:rPr>
          <w:color w:val="auto"/>
          <w:sz w:val="20"/>
          <w:szCs w:val="20"/>
        </w:rPr>
      </w:pPr>
      <w:r>
        <w:rPr>
          <w:color w:val="auto"/>
          <w:sz w:val="20"/>
          <w:szCs w:val="20"/>
        </w:rPr>
        <w:t xml:space="preserve">The following warning message displays after the Submit Filing button has been clicked: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8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Upload Error Message </w:t>
      </w:r>
    </w:p>
    <w:p w:rsidR="003818E9" w:rsidRDefault="003818E9" w:rsidP="003818E9">
      <w:pPr>
        <w:pStyle w:val="Default"/>
        <w:rPr>
          <w:color w:val="auto"/>
          <w:sz w:val="20"/>
          <w:szCs w:val="20"/>
        </w:rPr>
      </w:pPr>
      <w:r>
        <w:rPr>
          <w:color w:val="auto"/>
          <w:sz w:val="20"/>
          <w:szCs w:val="20"/>
        </w:rPr>
        <w:t xml:space="preserve">Brochures must be in PDF format and must be text-searchable. Files that are scanned to PDF format may not contain searchable text, as scanners generally capture an image of a document. To ensure the file </w:t>
      </w:r>
      <w:proofErr w:type="gramStart"/>
      <w:r>
        <w:rPr>
          <w:color w:val="auto"/>
          <w:sz w:val="20"/>
          <w:szCs w:val="20"/>
        </w:rPr>
        <w:t>be</w:t>
      </w:r>
      <w:proofErr w:type="gramEnd"/>
      <w:r>
        <w:rPr>
          <w:color w:val="auto"/>
          <w:sz w:val="20"/>
          <w:szCs w:val="20"/>
        </w:rPr>
        <w:t xml:space="preserve"> text-searchable, the scanner must have the Optical Character Recognition (OCR) turned on. </w:t>
      </w:r>
    </w:p>
    <w:p w:rsidR="003818E9" w:rsidRDefault="003818E9" w:rsidP="003818E9">
      <w:pPr>
        <w:pStyle w:val="Default"/>
        <w:rPr>
          <w:color w:val="auto"/>
          <w:sz w:val="20"/>
          <w:szCs w:val="20"/>
        </w:rPr>
      </w:pPr>
      <w:r>
        <w:rPr>
          <w:color w:val="auto"/>
          <w:sz w:val="20"/>
          <w:szCs w:val="20"/>
        </w:rPr>
        <w:t xml:space="preserve">Additionally, files that are locked or password protected will also inhibit the system’s ability to search for text. All security on the PDF file must be removed in order to upload the PDF file. </w:t>
      </w:r>
    </w:p>
    <w:p w:rsidR="003818E9" w:rsidRDefault="003818E9" w:rsidP="003818E9">
      <w:pPr>
        <w:pStyle w:val="Default"/>
        <w:rPr>
          <w:color w:val="auto"/>
          <w:sz w:val="20"/>
          <w:szCs w:val="20"/>
        </w:rPr>
      </w:pPr>
      <w:r>
        <w:rPr>
          <w:color w:val="auto"/>
          <w:sz w:val="20"/>
          <w:szCs w:val="20"/>
        </w:rPr>
        <w:t xml:space="preserve">If the file does not meet the PDF and text-searchable requirement, the error message below will display. </w:t>
      </w:r>
    </w:p>
    <w:p w:rsidR="003818E9" w:rsidRDefault="003818E9" w:rsidP="003818E9">
      <w:pPr>
        <w:pStyle w:val="Default"/>
        <w:rPr>
          <w:color w:val="auto"/>
        </w:rPr>
      </w:pPr>
    </w:p>
    <w:p w:rsidR="003818E9" w:rsidRDefault="003818E9" w:rsidP="003818E9">
      <w:pPr>
        <w:pStyle w:val="Default"/>
        <w:rPr>
          <w:color w:val="auto"/>
          <w:sz w:val="20"/>
          <w:szCs w:val="20"/>
        </w:rPr>
      </w:pPr>
      <w:r>
        <w:rPr>
          <w:b/>
          <w:bCs/>
          <w:color w:val="auto"/>
          <w:sz w:val="20"/>
          <w:szCs w:val="20"/>
        </w:rPr>
        <w:t xml:space="preserve">For technical assistance uploading your brochure, please call the IARD Hotline, 240-386-4848.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9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Amend a Brochure </w:t>
      </w:r>
    </w:p>
    <w:p w:rsidR="003818E9" w:rsidRDefault="003818E9" w:rsidP="003818E9">
      <w:pPr>
        <w:pStyle w:val="Default"/>
        <w:rPr>
          <w:color w:val="auto"/>
          <w:sz w:val="20"/>
          <w:szCs w:val="20"/>
        </w:rPr>
      </w:pPr>
      <w:r>
        <w:rPr>
          <w:color w:val="auto"/>
          <w:sz w:val="20"/>
          <w:szCs w:val="20"/>
        </w:rPr>
        <w:t xml:space="preserve">The Amend brochure option allows a firm to update their Brochure Name, Brochure Description, and Brochure Type for a brochure that is already on file. </w:t>
      </w:r>
    </w:p>
    <w:p w:rsidR="003818E9" w:rsidRDefault="003818E9" w:rsidP="003818E9">
      <w:pPr>
        <w:pStyle w:val="Default"/>
        <w:rPr>
          <w:color w:val="auto"/>
          <w:sz w:val="20"/>
          <w:szCs w:val="20"/>
        </w:rPr>
      </w:pPr>
      <w:r>
        <w:rPr>
          <w:color w:val="auto"/>
          <w:sz w:val="20"/>
          <w:szCs w:val="20"/>
        </w:rPr>
        <w:t xml:space="preserve">To upload an updated version of a brochure, access the appropriate Form ADV amendment filing. From the Part 2 Brochure Filing page, select the </w:t>
      </w:r>
      <w:r>
        <w:rPr>
          <w:b/>
          <w:bCs/>
          <w:color w:val="auto"/>
          <w:sz w:val="20"/>
          <w:szCs w:val="20"/>
        </w:rPr>
        <w:t xml:space="preserve">Amend </w:t>
      </w:r>
      <w:r>
        <w:rPr>
          <w:color w:val="auto"/>
          <w:sz w:val="20"/>
          <w:szCs w:val="20"/>
        </w:rPr>
        <w:t xml:space="preserve">radio button. And, </w:t>
      </w:r>
      <w:proofErr w:type="gramStart"/>
      <w:r>
        <w:rPr>
          <w:color w:val="auto"/>
          <w:sz w:val="20"/>
          <w:szCs w:val="20"/>
        </w:rPr>
        <w:t>If</w:t>
      </w:r>
      <w:proofErr w:type="gramEnd"/>
      <w:r>
        <w:rPr>
          <w:color w:val="auto"/>
          <w:sz w:val="20"/>
          <w:szCs w:val="20"/>
        </w:rPr>
        <w:t xml:space="preserve"> applicable, click the Brochure Name hyperlink to update the brochure’s name, type, and description. </w:t>
      </w:r>
    </w:p>
    <w:p w:rsidR="003818E9" w:rsidRDefault="003818E9" w:rsidP="003818E9">
      <w:pPr>
        <w:pStyle w:val="Default"/>
        <w:rPr>
          <w:color w:val="auto"/>
        </w:rPr>
      </w:pPr>
    </w:p>
    <w:p w:rsidR="003818E9" w:rsidRDefault="003818E9" w:rsidP="003818E9">
      <w:pPr>
        <w:pStyle w:val="Default"/>
        <w:rPr>
          <w:color w:val="auto"/>
          <w:sz w:val="20"/>
          <w:szCs w:val="20"/>
        </w:rPr>
      </w:pPr>
      <w:r>
        <w:rPr>
          <w:color w:val="auto"/>
          <w:sz w:val="20"/>
          <w:szCs w:val="20"/>
        </w:rPr>
        <w:t xml:space="preserve">Upon submission of the filing, and once all completeness checks are passed, the system will prompt you to upload a new file.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10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Retire a Brochure </w:t>
      </w:r>
    </w:p>
    <w:p w:rsidR="003818E9" w:rsidRDefault="003818E9" w:rsidP="003818E9">
      <w:pPr>
        <w:pStyle w:val="Default"/>
        <w:rPr>
          <w:color w:val="auto"/>
          <w:sz w:val="20"/>
          <w:szCs w:val="20"/>
        </w:rPr>
      </w:pPr>
      <w:r>
        <w:rPr>
          <w:color w:val="auto"/>
          <w:sz w:val="20"/>
          <w:szCs w:val="20"/>
        </w:rPr>
        <w:t xml:space="preserve">For firms with multiple brochures on file, the Retire brochure option allows a firm to retire </w:t>
      </w:r>
    </w:p>
    <w:p w:rsidR="003818E9" w:rsidRDefault="003818E9" w:rsidP="003818E9">
      <w:pPr>
        <w:pStyle w:val="Default"/>
        <w:rPr>
          <w:color w:val="auto"/>
          <w:sz w:val="20"/>
          <w:szCs w:val="20"/>
        </w:rPr>
      </w:pPr>
      <w:proofErr w:type="gramStart"/>
      <w:r>
        <w:rPr>
          <w:color w:val="auto"/>
          <w:sz w:val="20"/>
          <w:szCs w:val="20"/>
        </w:rPr>
        <w:t>brochures</w:t>
      </w:r>
      <w:proofErr w:type="gramEnd"/>
      <w:r>
        <w:rPr>
          <w:color w:val="auto"/>
          <w:sz w:val="20"/>
          <w:szCs w:val="20"/>
        </w:rPr>
        <w:t xml:space="preserve"> describing advisory services that are no longer offered to clients. If a firm has a </w:t>
      </w:r>
    </w:p>
    <w:p w:rsidR="003818E9" w:rsidRDefault="003818E9" w:rsidP="003818E9">
      <w:pPr>
        <w:pStyle w:val="Default"/>
        <w:rPr>
          <w:color w:val="auto"/>
          <w:sz w:val="20"/>
          <w:szCs w:val="20"/>
        </w:rPr>
      </w:pPr>
      <w:proofErr w:type="gramStart"/>
      <w:r>
        <w:rPr>
          <w:color w:val="auto"/>
          <w:sz w:val="20"/>
          <w:szCs w:val="20"/>
        </w:rPr>
        <w:t>single</w:t>
      </w:r>
      <w:proofErr w:type="gramEnd"/>
      <w:r>
        <w:rPr>
          <w:color w:val="auto"/>
          <w:sz w:val="20"/>
          <w:szCs w:val="20"/>
        </w:rPr>
        <w:t xml:space="preserve"> brochure, updates must instead be made by amending the brochure. </w:t>
      </w:r>
    </w:p>
    <w:p w:rsidR="003818E9" w:rsidRDefault="003818E9" w:rsidP="003818E9">
      <w:pPr>
        <w:pStyle w:val="Default"/>
        <w:rPr>
          <w:color w:val="auto"/>
          <w:sz w:val="20"/>
          <w:szCs w:val="20"/>
        </w:rPr>
      </w:pPr>
      <w:r>
        <w:rPr>
          <w:color w:val="auto"/>
          <w:sz w:val="20"/>
          <w:szCs w:val="20"/>
        </w:rPr>
        <w:t xml:space="preserve">To retire a brochure, access the appropriate Form ADV amendment filing. From the Part 2 Brochure Filing page, select the </w:t>
      </w:r>
      <w:r>
        <w:rPr>
          <w:b/>
          <w:bCs/>
          <w:color w:val="auto"/>
          <w:sz w:val="20"/>
          <w:szCs w:val="20"/>
        </w:rPr>
        <w:t xml:space="preserve">Retire </w:t>
      </w:r>
      <w:r>
        <w:rPr>
          <w:color w:val="auto"/>
          <w:sz w:val="20"/>
          <w:szCs w:val="20"/>
        </w:rPr>
        <w:t xml:space="preserve">radio button. </w:t>
      </w:r>
    </w:p>
    <w:p w:rsidR="003818E9" w:rsidRDefault="003818E9" w:rsidP="003818E9">
      <w:pPr>
        <w:pStyle w:val="Default"/>
        <w:rPr>
          <w:color w:val="auto"/>
          <w:sz w:val="20"/>
          <w:szCs w:val="20"/>
        </w:rPr>
      </w:pPr>
      <w:r>
        <w:rPr>
          <w:color w:val="auto"/>
          <w:sz w:val="20"/>
          <w:szCs w:val="20"/>
        </w:rPr>
        <w:t xml:space="preserve">Upon submission of the Form ADV filing retired brochures will be removed from IAPD the following day. However, retired brochures will remain in IARD for historical purposes.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11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Confirm a Brochure </w:t>
      </w:r>
    </w:p>
    <w:p w:rsidR="003818E9" w:rsidRDefault="003818E9" w:rsidP="003818E9">
      <w:pPr>
        <w:pStyle w:val="Default"/>
        <w:rPr>
          <w:color w:val="auto"/>
          <w:sz w:val="20"/>
          <w:szCs w:val="20"/>
        </w:rPr>
      </w:pPr>
      <w:r>
        <w:rPr>
          <w:color w:val="auto"/>
          <w:sz w:val="20"/>
          <w:szCs w:val="20"/>
        </w:rPr>
        <w:t xml:space="preserve">The Confirm brochure option is only available on a Form ADV Annual Amendment filing. This option allows the firm to confirm that the brochures on file are still current .Upon submission of the </w:t>
      </w:r>
      <w:proofErr w:type="gramStart"/>
      <w:r>
        <w:rPr>
          <w:color w:val="auto"/>
          <w:sz w:val="20"/>
          <w:szCs w:val="20"/>
        </w:rPr>
        <w:t>filing,</w:t>
      </w:r>
      <w:proofErr w:type="gramEnd"/>
      <w:r>
        <w:rPr>
          <w:color w:val="auto"/>
          <w:sz w:val="20"/>
          <w:szCs w:val="20"/>
        </w:rPr>
        <w:t xml:space="preserve"> the system will not prompt the firm to upload a new version of the brochure. </w:t>
      </w:r>
    </w:p>
    <w:p w:rsidR="003818E9" w:rsidRDefault="003818E9" w:rsidP="003818E9">
      <w:pPr>
        <w:pStyle w:val="Default"/>
        <w:rPr>
          <w:color w:val="auto"/>
          <w:sz w:val="20"/>
          <w:szCs w:val="20"/>
        </w:rPr>
      </w:pPr>
      <w:r>
        <w:rPr>
          <w:color w:val="auto"/>
          <w:sz w:val="20"/>
          <w:szCs w:val="20"/>
        </w:rPr>
        <w:t xml:space="preserve">To confirm a brochure, access the appropriate Form ADV amendment filing. From the Part 2 Brochure Filing page, click the </w:t>
      </w:r>
      <w:r>
        <w:rPr>
          <w:b/>
          <w:bCs/>
          <w:color w:val="auto"/>
          <w:sz w:val="20"/>
          <w:szCs w:val="20"/>
        </w:rPr>
        <w:t xml:space="preserve">Brochure ID </w:t>
      </w:r>
      <w:r>
        <w:rPr>
          <w:color w:val="auto"/>
          <w:sz w:val="20"/>
          <w:szCs w:val="20"/>
        </w:rPr>
        <w:t xml:space="preserve">hyperlink to </w:t>
      </w:r>
      <w:r>
        <w:rPr>
          <w:color w:val="auto"/>
          <w:sz w:val="22"/>
          <w:szCs w:val="22"/>
        </w:rPr>
        <w:t xml:space="preserve">verify that the brochure on file is up to date and </w:t>
      </w:r>
      <w:r>
        <w:rPr>
          <w:color w:val="auto"/>
          <w:sz w:val="20"/>
          <w:szCs w:val="20"/>
        </w:rPr>
        <w:t xml:space="preserve">select the </w:t>
      </w:r>
      <w:r>
        <w:rPr>
          <w:b/>
          <w:bCs/>
          <w:color w:val="auto"/>
          <w:sz w:val="20"/>
          <w:szCs w:val="20"/>
        </w:rPr>
        <w:t xml:space="preserve">Confirm </w:t>
      </w:r>
      <w:r>
        <w:rPr>
          <w:color w:val="auto"/>
          <w:sz w:val="20"/>
          <w:szCs w:val="20"/>
        </w:rPr>
        <w:t xml:space="preserve">radio button. </w:t>
      </w:r>
    </w:p>
    <w:p w:rsidR="003818E9" w:rsidRDefault="003818E9" w:rsidP="003818E9">
      <w:pPr>
        <w:pStyle w:val="Default"/>
        <w:pageBreakBefore/>
        <w:rPr>
          <w:color w:val="auto"/>
          <w:sz w:val="20"/>
          <w:szCs w:val="20"/>
        </w:rPr>
      </w:pPr>
    </w:p>
    <w:p w:rsidR="003818E9" w:rsidRDefault="003818E9" w:rsidP="003818E9">
      <w:pPr>
        <w:pStyle w:val="Default"/>
        <w:rPr>
          <w:color w:val="auto"/>
          <w:sz w:val="16"/>
          <w:szCs w:val="16"/>
        </w:rPr>
      </w:pPr>
      <w:r>
        <w:rPr>
          <w:color w:val="auto"/>
          <w:sz w:val="16"/>
          <w:szCs w:val="16"/>
        </w:rPr>
        <w:t xml:space="preserve">Form ADV - Part 2 </w:t>
      </w:r>
    </w:p>
    <w:p w:rsidR="003818E9" w:rsidRDefault="003818E9" w:rsidP="003818E9">
      <w:pPr>
        <w:pStyle w:val="Default"/>
        <w:rPr>
          <w:color w:val="auto"/>
        </w:rPr>
      </w:pPr>
    </w:p>
    <w:p w:rsidR="003818E9" w:rsidRDefault="003818E9" w:rsidP="003818E9">
      <w:pPr>
        <w:pStyle w:val="Default"/>
        <w:rPr>
          <w:color w:val="auto"/>
          <w:sz w:val="16"/>
          <w:szCs w:val="16"/>
        </w:rPr>
      </w:pPr>
      <w:proofErr w:type="gramStart"/>
      <w:r>
        <w:rPr>
          <w:color w:val="auto"/>
          <w:sz w:val="16"/>
          <w:szCs w:val="16"/>
        </w:rPr>
        <w:t>Copyright 2013.</w:t>
      </w:r>
      <w:proofErr w:type="gramEnd"/>
      <w:r>
        <w:rPr>
          <w:color w:val="auto"/>
          <w:sz w:val="16"/>
          <w:szCs w:val="16"/>
        </w:rPr>
        <w:t xml:space="preserve"> FINRA October– Release 2013.4 12 </w:t>
      </w:r>
    </w:p>
    <w:p w:rsidR="003818E9" w:rsidRDefault="003818E9" w:rsidP="003818E9">
      <w:pPr>
        <w:pStyle w:val="Default"/>
        <w:rPr>
          <w:color w:val="auto"/>
          <w:sz w:val="16"/>
          <w:szCs w:val="16"/>
        </w:rPr>
      </w:pPr>
    </w:p>
    <w:p w:rsidR="003818E9" w:rsidRDefault="003818E9" w:rsidP="003818E9">
      <w:pPr>
        <w:pStyle w:val="Default"/>
        <w:rPr>
          <w:color w:val="auto"/>
          <w:sz w:val="23"/>
          <w:szCs w:val="23"/>
        </w:rPr>
      </w:pPr>
      <w:r>
        <w:rPr>
          <w:b/>
          <w:bCs/>
          <w:color w:val="auto"/>
          <w:sz w:val="23"/>
          <w:szCs w:val="23"/>
        </w:rPr>
        <w:t xml:space="preserve">Brochure Information in View Organization </w:t>
      </w:r>
    </w:p>
    <w:p w:rsidR="003818E9" w:rsidRDefault="003818E9" w:rsidP="003818E9">
      <w:pPr>
        <w:pStyle w:val="Default"/>
        <w:rPr>
          <w:color w:val="auto"/>
          <w:sz w:val="20"/>
          <w:szCs w:val="20"/>
        </w:rPr>
      </w:pPr>
      <w:r>
        <w:rPr>
          <w:color w:val="auto"/>
          <w:sz w:val="20"/>
          <w:szCs w:val="20"/>
        </w:rPr>
        <w:t xml:space="preserve">Firms can view brochure status and filing information in IARD View Organization. </w:t>
      </w:r>
    </w:p>
    <w:p w:rsidR="003818E9" w:rsidRDefault="003818E9" w:rsidP="003818E9">
      <w:pPr>
        <w:pStyle w:val="Default"/>
        <w:rPr>
          <w:color w:val="auto"/>
          <w:sz w:val="20"/>
          <w:szCs w:val="20"/>
        </w:rPr>
      </w:pPr>
      <w:r>
        <w:rPr>
          <w:color w:val="auto"/>
          <w:sz w:val="20"/>
          <w:szCs w:val="20"/>
        </w:rPr>
        <w:t xml:space="preserve">The </w:t>
      </w:r>
      <w:r>
        <w:rPr>
          <w:b/>
          <w:bCs/>
          <w:color w:val="auto"/>
          <w:sz w:val="20"/>
          <w:szCs w:val="20"/>
        </w:rPr>
        <w:t xml:space="preserve">Brochure Status </w:t>
      </w:r>
      <w:r>
        <w:rPr>
          <w:color w:val="auto"/>
          <w:sz w:val="20"/>
          <w:szCs w:val="20"/>
        </w:rPr>
        <w:t xml:space="preserve">page displays a </w:t>
      </w:r>
      <w:proofErr w:type="spellStart"/>
      <w:r>
        <w:rPr>
          <w:color w:val="auto"/>
          <w:sz w:val="20"/>
          <w:szCs w:val="20"/>
        </w:rPr>
        <w:t>lit</w:t>
      </w:r>
      <w:proofErr w:type="spellEnd"/>
      <w:r>
        <w:rPr>
          <w:color w:val="auto"/>
          <w:sz w:val="20"/>
          <w:szCs w:val="20"/>
        </w:rPr>
        <w:t xml:space="preserve"> of all brochures submitted by the firm along with the current Brochure Filing Status and the date on which the brochure was last modified. </w:t>
      </w:r>
    </w:p>
    <w:tbl>
      <w:tblPr>
        <w:tblW w:w="0" w:type="auto"/>
        <w:tblBorders>
          <w:top w:val="nil"/>
          <w:left w:val="nil"/>
          <w:bottom w:val="nil"/>
          <w:right w:val="nil"/>
        </w:tblBorders>
        <w:tblLayout w:type="fixed"/>
        <w:tblLook w:val="0000" w:firstRow="0" w:lastRow="0" w:firstColumn="0" w:lastColumn="0" w:noHBand="0" w:noVBand="0"/>
      </w:tblPr>
      <w:tblGrid>
        <w:gridCol w:w="4496"/>
        <w:gridCol w:w="4496"/>
      </w:tblGrid>
      <w:tr w:rsidR="003818E9">
        <w:tblPrEx>
          <w:tblCellMar>
            <w:top w:w="0" w:type="dxa"/>
            <w:bottom w:w="0" w:type="dxa"/>
          </w:tblCellMar>
        </w:tblPrEx>
        <w:trPr>
          <w:trHeight w:val="93"/>
        </w:trPr>
        <w:tc>
          <w:tcPr>
            <w:tcW w:w="4496" w:type="dxa"/>
          </w:tcPr>
          <w:p w:rsidR="003818E9" w:rsidRDefault="003818E9">
            <w:pPr>
              <w:pStyle w:val="Default"/>
              <w:rPr>
                <w:color w:val="FFFFFF"/>
                <w:sz w:val="20"/>
                <w:szCs w:val="20"/>
              </w:rPr>
            </w:pPr>
            <w:r>
              <w:rPr>
                <w:b/>
                <w:bCs/>
                <w:color w:val="FFFFFF"/>
                <w:sz w:val="20"/>
                <w:szCs w:val="20"/>
              </w:rPr>
              <w:t xml:space="preserve">Status </w:t>
            </w:r>
          </w:p>
        </w:tc>
        <w:tc>
          <w:tcPr>
            <w:tcW w:w="4496" w:type="dxa"/>
          </w:tcPr>
          <w:p w:rsidR="003818E9" w:rsidRDefault="003818E9">
            <w:pPr>
              <w:pStyle w:val="Default"/>
              <w:rPr>
                <w:color w:val="FFFFFF"/>
                <w:sz w:val="20"/>
                <w:szCs w:val="20"/>
              </w:rPr>
            </w:pPr>
            <w:r>
              <w:rPr>
                <w:b/>
                <w:bCs/>
                <w:color w:val="FFFFFF"/>
                <w:sz w:val="20"/>
                <w:szCs w:val="20"/>
              </w:rPr>
              <w:t xml:space="preserve">Description </w:t>
            </w:r>
          </w:p>
        </w:tc>
      </w:tr>
      <w:tr w:rsidR="003818E9">
        <w:tblPrEx>
          <w:tblCellMar>
            <w:top w:w="0" w:type="dxa"/>
            <w:bottom w:w="0" w:type="dxa"/>
          </w:tblCellMar>
        </w:tblPrEx>
        <w:trPr>
          <w:trHeight w:val="208"/>
        </w:trPr>
        <w:tc>
          <w:tcPr>
            <w:tcW w:w="4496" w:type="dxa"/>
          </w:tcPr>
          <w:p w:rsidR="003818E9" w:rsidRDefault="003818E9">
            <w:pPr>
              <w:pStyle w:val="Default"/>
              <w:rPr>
                <w:sz w:val="20"/>
                <w:szCs w:val="20"/>
              </w:rPr>
            </w:pPr>
            <w:r>
              <w:rPr>
                <w:b/>
                <w:bCs/>
                <w:sz w:val="20"/>
                <w:szCs w:val="20"/>
              </w:rPr>
              <w:t xml:space="preserve">New </w:t>
            </w:r>
          </w:p>
        </w:tc>
        <w:tc>
          <w:tcPr>
            <w:tcW w:w="4496" w:type="dxa"/>
          </w:tcPr>
          <w:p w:rsidR="003818E9" w:rsidRDefault="003818E9">
            <w:pPr>
              <w:pStyle w:val="Default"/>
              <w:rPr>
                <w:sz w:val="20"/>
                <w:szCs w:val="20"/>
              </w:rPr>
            </w:pPr>
            <w:r>
              <w:rPr>
                <w:sz w:val="20"/>
                <w:szCs w:val="20"/>
              </w:rPr>
              <w:t xml:space="preserve">This status is set when a firm files a Form ADV Initial or if a firm files a Form ADV Amendment and attaches a new brochure. </w:t>
            </w:r>
          </w:p>
        </w:tc>
      </w:tr>
      <w:tr w:rsidR="003818E9">
        <w:tblPrEx>
          <w:tblCellMar>
            <w:top w:w="0" w:type="dxa"/>
            <w:bottom w:w="0" w:type="dxa"/>
          </w:tblCellMar>
        </w:tblPrEx>
        <w:trPr>
          <w:trHeight w:val="322"/>
        </w:trPr>
        <w:tc>
          <w:tcPr>
            <w:tcW w:w="4496" w:type="dxa"/>
          </w:tcPr>
          <w:p w:rsidR="003818E9" w:rsidRDefault="003818E9">
            <w:pPr>
              <w:pStyle w:val="Default"/>
              <w:rPr>
                <w:sz w:val="20"/>
                <w:szCs w:val="20"/>
              </w:rPr>
            </w:pPr>
            <w:r>
              <w:rPr>
                <w:b/>
                <w:bCs/>
                <w:sz w:val="20"/>
                <w:szCs w:val="20"/>
              </w:rPr>
              <w:t xml:space="preserve">Confirmed </w:t>
            </w:r>
          </w:p>
        </w:tc>
        <w:tc>
          <w:tcPr>
            <w:tcW w:w="4496" w:type="dxa"/>
          </w:tcPr>
          <w:p w:rsidR="003818E9" w:rsidRDefault="003818E9">
            <w:pPr>
              <w:pStyle w:val="Default"/>
              <w:rPr>
                <w:sz w:val="20"/>
                <w:szCs w:val="20"/>
              </w:rPr>
            </w:pPr>
            <w:r>
              <w:rPr>
                <w:sz w:val="20"/>
                <w:szCs w:val="20"/>
              </w:rPr>
              <w:t xml:space="preserve">This status is set when a firm files an Annual Amendment and chooses the “Confirm Current Brochure” option, certifying that the current brochure version filed is still valid. </w:t>
            </w:r>
          </w:p>
        </w:tc>
      </w:tr>
      <w:tr w:rsidR="003818E9">
        <w:tblPrEx>
          <w:tblCellMar>
            <w:top w:w="0" w:type="dxa"/>
            <w:bottom w:w="0" w:type="dxa"/>
          </w:tblCellMar>
        </w:tblPrEx>
        <w:trPr>
          <w:trHeight w:val="208"/>
        </w:trPr>
        <w:tc>
          <w:tcPr>
            <w:tcW w:w="4496" w:type="dxa"/>
          </w:tcPr>
          <w:p w:rsidR="003818E9" w:rsidRDefault="003818E9">
            <w:pPr>
              <w:pStyle w:val="Default"/>
              <w:rPr>
                <w:sz w:val="20"/>
                <w:szCs w:val="20"/>
              </w:rPr>
            </w:pPr>
            <w:r>
              <w:rPr>
                <w:b/>
                <w:bCs/>
                <w:sz w:val="20"/>
                <w:szCs w:val="20"/>
              </w:rPr>
              <w:t xml:space="preserve">Amended </w:t>
            </w:r>
          </w:p>
        </w:tc>
        <w:tc>
          <w:tcPr>
            <w:tcW w:w="4496" w:type="dxa"/>
          </w:tcPr>
          <w:p w:rsidR="003818E9" w:rsidRDefault="003818E9">
            <w:pPr>
              <w:pStyle w:val="Default"/>
              <w:rPr>
                <w:sz w:val="20"/>
                <w:szCs w:val="20"/>
              </w:rPr>
            </w:pPr>
            <w:r>
              <w:rPr>
                <w:sz w:val="20"/>
                <w:szCs w:val="20"/>
              </w:rPr>
              <w:t xml:space="preserve">This status is set when a firm files a Form ADV Amendment and submits an up-dated brochure. </w:t>
            </w:r>
          </w:p>
        </w:tc>
      </w:tr>
      <w:tr w:rsidR="003818E9">
        <w:tblPrEx>
          <w:tblCellMar>
            <w:top w:w="0" w:type="dxa"/>
            <w:bottom w:w="0" w:type="dxa"/>
          </w:tblCellMar>
        </w:tblPrEx>
        <w:trPr>
          <w:trHeight w:val="207"/>
        </w:trPr>
        <w:tc>
          <w:tcPr>
            <w:tcW w:w="4496" w:type="dxa"/>
          </w:tcPr>
          <w:p w:rsidR="003818E9" w:rsidRDefault="003818E9">
            <w:pPr>
              <w:pStyle w:val="Default"/>
              <w:rPr>
                <w:sz w:val="20"/>
                <w:szCs w:val="20"/>
              </w:rPr>
            </w:pPr>
            <w:r>
              <w:rPr>
                <w:b/>
                <w:bCs/>
                <w:sz w:val="20"/>
                <w:szCs w:val="20"/>
              </w:rPr>
              <w:t xml:space="preserve">Retired </w:t>
            </w:r>
          </w:p>
        </w:tc>
        <w:tc>
          <w:tcPr>
            <w:tcW w:w="4496" w:type="dxa"/>
          </w:tcPr>
          <w:p w:rsidR="003818E9" w:rsidRDefault="003818E9">
            <w:pPr>
              <w:pStyle w:val="Default"/>
              <w:rPr>
                <w:sz w:val="20"/>
                <w:szCs w:val="20"/>
              </w:rPr>
            </w:pPr>
            <w:r>
              <w:rPr>
                <w:sz w:val="20"/>
                <w:szCs w:val="20"/>
              </w:rPr>
              <w:t xml:space="preserve">This status is set when a firm retires a brochure or when the system retires the brochure because there are no active registrations for a firm. </w:t>
            </w:r>
          </w:p>
        </w:tc>
      </w:tr>
      <w:tr w:rsidR="003818E9">
        <w:tblPrEx>
          <w:tblCellMar>
            <w:top w:w="0" w:type="dxa"/>
            <w:bottom w:w="0" w:type="dxa"/>
          </w:tblCellMar>
        </w:tblPrEx>
        <w:trPr>
          <w:trHeight w:val="93"/>
        </w:trPr>
        <w:tc>
          <w:tcPr>
            <w:tcW w:w="4496" w:type="dxa"/>
          </w:tcPr>
          <w:p w:rsidR="003818E9" w:rsidRDefault="003818E9">
            <w:pPr>
              <w:pStyle w:val="Default"/>
              <w:rPr>
                <w:sz w:val="20"/>
                <w:szCs w:val="20"/>
              </w:rPr>
            </w:pPr>
            <w:r>
              <w:rPr>
                <w:b/>
                <w:bCs/>
                <w:sz w:val="20"/>
                <w:szCs w:val="20"/>
              </w:rPr>
              <w:t xml:space="preserve">Archived </w:t>
            </w:r>
          </w:p>
        </w:tc>
        <w:tc>
          <w:tcPr>
            <w:tcW w:w="4496" w:type="dxa"/>
          </w:tcPr>
          <w:p w:rsidR="003818E9" w:rsidRDefault="003818E9">
            <w:pPr>
              <w:pStyle w:val="Default"/>
              <w:rPr>
                <w:sz w:val="20"/>
                <w:szCs w:val="20"/>
              </w:rPr>
            </w:pPr>
            <w:r>
              <w:rPr>
                <w:sz w:val="20"/>
                <w:szCs w:val="20"/>
              </w:rPr>
              <w:t xml:space="preserve">This status is set by the system five years after a brochure has been retired. </w:t>
            </w:r>
          </w:p>
        </w:tc>
      </w:tr>
    </w:tbl>
    <w:p w:rsidR="003818E9" w:rsidRDefault="003818E9">
      <w:bookmarkStart w:id="0" w:name="_GoBack"/>
      <w:bookmarkEnd w:id="0"/>
    </w:p>
    <w:sectPr w:rsidR="0038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A0"/>
    <w:rsid w:val="000D7DCA"/>
    <w:rsid w:val="002742A0"/>
    <w:rsid w:val="003818E9"/>
    <w:rsid w:val="00A27113"/>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A0"/>
    <w:rPr>
      <w:color w:val="0000FF" w:themeColor="hyperlink"/>
      <w:u w:val="single"/>
    </w:rPr>
  </w:style>
  <w:style w:type="paragraph" w:customStyle="1" w:styleId="Default">
    <w:name w:val="Default"/>
    <w:rsid w:val="003818E9"/>
    <w:pPr>
      <w:autoSpaceDE w:val="0"/>
      <w:autoSpaceDN w:val="0"/>
      <w:adjustRightInd w:val="0"/>
      <w:spacing w:after="0" w:line="240" w:lineRule="auto"/>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A0"/>
    <w:rPr>
      <w:color w:val="0000FF" w:themeColor="hyperlink"/>
      <w:u w:val="single"/>
    </w:rPr>
  </w:style>
  <w:style w:type="paragraph" w:customStyle="1" w:styleId="Default">
    <w:name w:val="Default"/>
    <w:rsid w:val="003818E9"/>
    <w:pPr>
      <w:autoSpaceDE w:val="0"/>
      <w:autoSpaceDN w:val="0"/>
      <w:adjustRightInd w:val="0"/>
      <w:spacing w:after="0"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rd.com/pdf/ADV_Part_II_Firm_User_9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ard.com/pdf/ADV_Part_II_Firm_User_90.pdf" TargetMode="External"/><Relationship Id="rId5" Type="http://schemas.openxmlformats.org/officeDocument/2006/relationships/hyperlink" Target="http://www.iard.com/pdf/ADV_Part_II_Firm_User_9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2</cp:revision>
  <dcterms:created xsi:type="dcterms:W3CDTF">2014-03-12T15:23:00Z</dcterms:created>
  <dcterms:modified xsi:type="dcterms:W3CDTF">2014-03-12T15:23:00Z</dcterms:modified>
</cp:coreProperties>
</file>